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sans-serif" w:hAnsi="sans-serif" w:eastAsia="仿宋_GB2312" w:cs="sans-serif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7"/>
          <w:szCs w:val="27"/>
        </w:rPr>
        <w:t>附件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年第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二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</w:rPr>
        <w:t>批建筑业企业资质审批意见汇总表</w:t>
      </w:r>
    </w:p>
    <w:bookmarkEnd w:id="0"/>
    <w:tbl>
      <w:tblPr>
        <w:tblStyle w:val="3"/>
        <w:tblW w:w="9255" w:type="dxa"/>
        <w:jc w:val="center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730"/>
        <w:gridCol w:w="3330"/>
        <w:gridCol w:w="130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申报资质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申报类型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公示结果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许昌慧煌建筑工程有限公司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施工劳务不分等级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增项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许昌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经典新型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建材有限公司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预拌混凝土专业承包资质不分等级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首次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同意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A0DB"/>
    <w:rsid w:val="2DF5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2022-06-24T09:06:00Z</dcterms:created>
  <dc:creator>huanghe</dc:creator>
  <cp:lastModifiedBy>huanghe</cp:lastModifiedBy>
  <dcterms:modified xsi:type="dcterms:W3CDTF">2022-06-24T09:06:18Z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